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ТЕХНИЧЕСКИЕ ТРЕБОВАНИЯ</w:t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/>
      </w:pPr>
      <w:r>
        <w:rPr>
          <w:rStyle w:val="Style8"/>
          <w:b w:val="false"/>
          <w:i w:val="false"/>
          <w:shd w:fill="auto" w:val="clear"/>
        </w:rPr>
        <w:t>Разработка рабочей документации на техническое перевооружение системы технического и коммерческого учета тепловой энергии в здании электрокот</w:t>
      </w:r>
      <w:r>
        <w:rPr>
          <w:rStyle w:val="Style8"/>
          <w:b w:val="false"/>
          <w:i w:val="false"/>
          <w:sz w:val="28"/>
          <w:szCs w:val="28"/>
          <w:shd w:fill="auto" w:val="clear"/>
        </w:rPr>
        <w:t xml:space="preserve">ельной </w:t>
      </w:r>
      <w:r>
        <w:rPr>
          <w:rStyle w:val="Style8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8"/>
          <w:szCs w:val="28"/>
          <w:u w:val="none"/>
          <w:shd w:fill="auto" w:val="clear"/>
          <w:em w:val="none"/>
        </w:rPr>
        <w:t xml:space="preserve"> п. Светлый Зейской ГЭС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rStyle w:val="Style14"/>
              <w:vanish w:val="false"/>
            </w:rPr>
            <w:instrText xml:space="preserve"> TOC \o "1-4" \h</w:instrText>
          </w:r>
          <w:r>
            <w:rPr>
              <w:rStyle w:val="Style14"/>
              <w:vanish w:val="false"/>
            </w:rPr>
            <w:fldChar w:fldCharType="separate"/>
          </w:r>
          <w:hyperlink w:anchor="__RefHeading___Toc29963_560590387">
            <w:r>
              <w:rPr>
                <w:rStyle w:val="Style14"/>
                <w:vanish w:val="false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29965_560590387">
            <w:r>
              <w:rPr>
                <w:rStyle w:val="Style14"/>
                <w:vanish w:val="false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29967_560590387">
            <w:r>
              <w:rPr>
                <w:rStyle w:val="Style14"/>
                <w:vanish w:val="false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29969_560590387">
            <w:r>
              <w:rPr>
                <w:rStyle w:val="Style14"/>
                <w:vanish w:val="false"/>
              </w:rPr>
              <w:t>1.3. Цель оказания услуг</w:t>
              <w:tab/>
              <w:t>3</w:t>
            </w:r>
          </w:hyperlink>
        </w:p>
        <w:p>
          <w:pPr>
            <w:pStyle w:val="TOC4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29971_560590387">
            <w:r>
              <w:rPr>
                <w:rStyle w:val="Style14"/>
                <w:vanish w:val="false"/>
              </w:rPr>
              <w:t>1.4. Существующее положение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9973_560590387">
            <w:r>
              <w:rPr>
                <w:rStyle w:val="Style14"/>
                <w:vanish w:val="false"/>
              </w:rPr>
              <w:t>Таблица 1. Перечень объектов заказчика</w:t>
              <w:tab/>
              <w:t>3</w:t>
            </w:r>
          </w:hyperlink>
        </w:p>
        <w:p>
          <w:pPr>
            <w:pStyle w:val="TOC4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29975_560590387">
            <w:r>
              <w:rPr>
                <w:rStyle w:val="Style14"/>
                <w:vanish w:val="false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4</w:t>
            </w:r>
          </w:hyperlink>
        </w:p>
        <w:p>
          <w:pPr>
            <w:pStyle w:val="TOC4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29977_560590387">
            <w:r>
              <w:rPr>
                <w:rStyle w:val="Style14"/>
                <w:vanish w:val="false"/>
              </w:rPr>
              <w:t>Заказчик предоставляет подрядчику: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9979_560590387">
            <w:r>
              <w:rPr>
                <w:rStyle w:val="Style14"/>
                <w:vanish w:val="false"/>
              </w:rPr>
              <w:t xml:space="preserve">2. </w:t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rStyle w:val="Style14"/>
              </w:rPr>
              <w:tab/>
              <w:t>4</w:t>
            </w:r>
          </w:hyperlink>
        </w:p>
        <w:p>
          <w:pPr>
            <w:pStyle w:val="TOC4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29981_560590387">
            <w:r>
              <w:rPr>
                <w:rStyle w:val="Style14"/>
                <w:vanish w:val="false"/>
              </w:rPr>
              <w:t>2.1. Требования к объемам и срокам оказания услуг</w:t>
              <w:tab/>
              <w:t>4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29983_560590387">
            <w:r>
              <w:rPr>
                <w:rStyle w:val="Style14"/>
                <w:vanish w:val="false"/>
              </w:rPr>
              <w:t>2.1.1. Требования к перечню и объему услуг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9985_560590387">
            <w:r>
              <w:rPr>
                <w:rStyle w:val="Style14"/>
                <w:vanish w:val="false"/>
              </w:rPr>
              <w:t>Таблица 2. Перечень и объем оказываемых услуг</w:t>
              <w:tab/>
              <w:t>4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29987_560590387">
            <w:r>
              <w:rPr>
                <w:rStyle w:val="Style14"/>
                <w:vanish w:val="false"/>
              </w:rPr>
              <w:t>2.1.2. Требования к срокам оказания услуг</w:t>
              <w:tab/>
              <w:t>5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9989_560590387">
            <w:r>
              <w:rPr>
                <w:rStyle w:val="Style14"/>
                <w:vanish w:val="false"/>
              </w:rPr>
              <w:t>Таблица 3. Требования к срокам оказания услуг</w:t>
              <w:tab/>
              <w:t>5</w:t>
            </w:r>
          </w:hyperlink>
        </w:p>
        <w:p>
          <w:pPr>
            <w:pStyle w:val="TOC4"/>
            <w:tabs>
              <w:tab w:val="clear" w:pos="1120"/>
              <w:tab w:val="clear" w:pos="9911"/>
              <w:tab w:val="right" w:pos="9921" w:leader="dot"/>
            </w:tabs>
            <w:rPr/>
          </w:pPr>
          <w:hyperlink w:anchor="__RefHeading___Toc29991_560590387">
            <w:r>
              <w:rPr>
                <w:rStyle w:val="Style14"/>
                <w:vanish w:val="false"/>
              </w:rPr>
              <w:t>2.2. Требования к качеству услуг</w:t>
              <w:tab/>
              <w:t>6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9993_560590387">
            <w:r>
              <w:rPr>
                <w:rStyle w:val="Style14"/>
                <w:vanish w:val="false"/>
              </w:rPr>
              <w:t>Таблица 4. Требования к качеству услуг</w:t>
              <w:tab/>
              <w:t>6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9995_560590387">
            <w:r>
              <w:rPr>
                <w:rStyle w:val="Style14"/>
                <w:vanish w:val="false"/>
              </w:rPr>
              <w:t xml:space="preserve">3. </w:t>
            </w:r>
            <w:r>
              <w:rPr>
                <w:rStyle w:val="Style14"/>
                <w:iCs/>
              </w:rPr>
              <w:t>Приложения</w:t>
            </w:r>
            <w:r>
              <w:rPr>
                <w:rStyle w:val="Style14"/>
              </w:rPr>
              <w:tab/>
              <w:t>14</w:t>
            </w:r>
          </w:hyperlink>
          <w:r>
            <w:rPr>
              <w:rStyle w:val="Style14"/>
            </w:rPr>
            <w:fldChar w:fldCharType="end"/>
          </w:r>
        </w:p>
      </w:sdtContent>
    </w:sdt>
    <w:p>
      <w:pPr>
        <w:pStyle w:val="Heading2"/>
        <w:numPr>
          <w:ilvl w:val="0"/>
          <w:numId w:val="0"/>
        </w:numPr>
        <w:ind w:left="0" w:righ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right="0" w:hanging="357"/>
        <w:jc w:val="center"/>
        <w:rPr>
          <w:caps/>
          <w:lang w:val="ru-RU"/>
        </w:rPr>
      </w:pPr>
      <w:bookmarkStart w:id="0" w:name="__RefHeading___Toc29963_560590387"/>
      <w:bookmarkStart w:id="1" w:name="_Toc54643694"/>
      <w:bookmarkEnd w:id="0"/>
      <w:r>
        <w:rPr>
          <w:lang w:val="ru-RU"/>
        </w:rPr>
        <w:t>Общие сведения</w:t>
      </w:r>
      <w:bookmarkEnd w:id="1"/>
    </w:p>
    <w:p>
      <w:pPr>
        <w:pStyle w:val="Heading4"/>
        <w:numPr>
          <w:ilvl w:val="1"/>
          <w:numId w:val="3"/>
        </w:numPr>
        <w:rPr/>
      </w:pPr>
      <w:bookmarkStart w:id="2" w:name="__RefHeading___Toc29965_560590387"/>
      <w:bookmarkStart w:id="3" w:name="_Toc54643695"/>
      <w:bookmarkStart w:id="4" w:name="_Toc46743505"/>
      <w:bookmarkEnd w:id="2"/>
      <w:r>
        <w:rPr/>
        <w:t>Обозначения и сокращения</w:t>
      </w:r>
      <w:bookmarkEnd w:id="3"/>
      <w:bookmarkEnd w:id="4"/>
    </w:p>
    <w:tbl>
      <w:tblPr>
        <w:tblW w:w="978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7905"/>
      </w:tblGrid>
      <w:tr>
        <w:trPr>
          <w:trHeight w:val="397" w:hRule="exact"/>
          <w:cantSplit w:val="true"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АРМ</w:t>
            </w:r>
          </w:p>
        </w:tc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автоматизированное рабочее место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АСУ ТП</w:t>
            </w:r>
          </w:p>
        </w:tc>
        <w:tc>
          <w:tcPr>
            <w:tcW w:w="7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автоматизированная система управления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БА</w:t>
            </w:r>
          </w:p>
        </w:tc>
        <w:tc>
          <w:tcPr>
            <w:tcW w:w="7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бак аккумулятор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КЭВ</w:t>
            </w:r>
          </w:p>
        </w:tc>
        <w:tc>
          <w:tcPr>
            <w:tcW w:w="7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котел водогрейный электрический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НТД</w:t>
            </w:r>
          </w:p>
        </w:tc>
        <w:tc>
          <w:tcPr>
            <w:tcW w:w="7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нормативно-техническая документация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ПВС</w:t>
            </w:r>
          </w:p>
        </w:tc>
        <w:tc>
          <w:tcPr>
            <w:tcW w:w="7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подогреватель воды сетевой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СИ</w:t>
            </w:r>
          </w:p>
        </w:tc>
        <w:tc>
          <w:tcPr>
            <w:tcW w:w="7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средства измерений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ТМ</w:t>
            </w:r>
          </w:p>
        </w:tc>
        <w:tc>
          <w:tcPr>
            <w:tcW w:w="7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тепломагистраль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ТКП</w:t>
            </w:r>
          </w:p>
        </w:tc>
        <w:tc>
          <w:tcPr>
            <w:tcW w:w="7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технико-коммерческое предложение</w:t>
            </w:r>
          </w:p>
        </w:tc>
      </w:tr>
      <w:tr>
        <w:trPr>
          <w:trHeight w:val="397" w:hRule="exact"/>
          <w:cantSplit w:val="true"/>
        </w:trPr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ЗРА</w:t>
            </w:r>
          </w:p>
        </w:tc>
        <w:tc>
          <w:tcPr>
            <w:tcW w:w="7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запорно-регулирующая арматура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5" w:name="__RefHeading___Toc29967_560590387"/>
      <w:bookmarkStart w:id="6" w:name="_Toc54643696"/>
      <w:bookmarkStart w:id="7" w:name="_Toc46743506"/>
      <w:bookmarkEnd w:id="5"/>
      <w:r>
        <w:rPr/>
        <w:t>Наименование закупаемой продукции</w:t>
      </w:r>
      <w:bookmarkEnd w:id="6"/>
      <w:bookmarkEnd w:id="7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ab/>
        <w:t>«Разработка рабочей документации на техническое перевооружение системы технического и коммерческого учета тепловой энергии в здании электрокотельной п. Светлый Зейской ГЭС».</w:t>
      </w:r>
      <w:bookmarkStart w:id="8" w:name="_Toc46743507"/>
    </w:p>
    <w:p>
      <w:pPr>
        <w:pStyle w:val="Heading4"/>
        <w:numPr>
          <w:ilvl w:val="1"/>
          <w:numId w:val="3"/>
        </w:numPr>
        <w:spacing w:before="240" w:after="60"/>
        <w:ind w:left="431" w:right="0" w:hanging="431"/>
        <w:rPr/>
      </w:pPr>
      <w:bookmarkStart w:id="9" w:name="__RefHeading___Toc29969_560590387"/>
      <w:bookmarkStart w:id="10" w:name="_Toc54643697"/>
      <w:bookmarkEnd w:id="9"/>
      <w:r>
        <w:rPr/>
        <w:t xml:space="preserve">Цель </w:t>
      </w:r>
      <w:bookmarkEnd w:id="8"/>
      <w:r>
        <w:rPr>
          <w:lang w:val="ru-RU"/>
        </w:rPr>
        <w:t>оказания услуг</w:t>
      </w:r>
      <w:r>
        <w:rPr/>
        <w:t xml:space="preserve"> </w:t>
      </w:r>
      <w:bookmarkEnd w:id="10"/>
    </w:p>
    <w:p>
      <w:pPr>
        <w:pStyle w:val="Normal"/>
        <w:widowControl w:val="false"/>
        <w:jc w:val="both"/>
        <w:rPr/>
      </w:pPr>
      <w:r>
        <w:rPr>
          <w:rStyle w:val="Style8"/>
          <w:b w:val="false"/>
          <w:bCs/>
          <w:i w:val="false"/>
          <w:iCs w:val="false"/>
          <w:sz w:val="24"/>
          <w:szCs w:val="24"/>
          <w:shd w:fill="auto" w:val="clear"/>
          <w:lang w:val="ru-RU"/>
        </w:rPr>
        <w:tab/>
        <w:t>Работа направлена на определение схемы и алгоритма учёта выработки тепловой энергии, приведение в соответствие узлов коммерческого учета тепловой энергии требованиям Правил коммерческого учета тепловой энергии (Постановление Правительства РФ от 18 ноября 2013 г. N 1034) и Методики осуществления коммерческого учета тепловой энергии, теплоносителя (Приказ Минстроя России от 17.03.2014 N 99/пр), а так же определение наиболее оптимального режима работы электрокотельной, в связи с вступлением в силу изменений в регламентах ОРЭМ Договора о присоединении к торговой системе оптового рынка.</w:t>
      </w:r>
    </w:p>
    <w:p>
      <w:pPr>
        <w:pStyle w:val="Heading4"/>
        <w:numPr>
          <w:ilvl w:val="1"/>
          <w:numId w:val="3"/>
        </w:numPr>
        <w:rPr/>
      </w:pPr>
      <w:bookmarkStart w:id="11" w:name="__RefHeading___Toc29971_560590387"/>
      <w:bookmarkStart w:id="12" w:name="_Toc54643698"/>
      <w:bookmarkStart w:id="13" w:name="_Toc46743508"/>
      <w:bookmarkEnd w:id="11"/>
      <w:r>
        <w:rPr/>
        <w:t>Существующее положение</w:t>
      </w:r>
      <w:bookmarkEnd w:id="13"/>
      <w:r>
        <w:rPr>
          <w:lang w:val="ru-RU"/>
        </w:rPr>
        <w:t xml:space="preserve"> </w:t>
      </w:r>
      <w:bookmarkEnd w:id="12"/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ab/>
        <w:t>1.4.1. Технический учет расхода деаэрированной, перегретой, подпиточной воды, горячей воды через водогрейные котлы и коммерческий учет выработки тепловой энергии регистрируется тепловычислителями ELKORA C-30.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ab/>
        <w:t>1.4.2. Срок службы основных элементов тепловодосчетчика ELKORA C-30 истекает, запасные части отсутствуют, приобретение комплекта запасных частей невозможно в связи с их производством на территории недружественных государств.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ab/>
        <w:t>1.4.3. Согласно п.128, раздела XII, Методики осуществления коммерческого учета тепловой энергии, теплоносителя, (приказ Минстроя России от 17.03.2014 № 99) емкость архива теплосчетчика не должна быть менее: часового – 60 суток, суточного - 6 месяцев, месячного (итоговые значения) - 3 года. Количество записей в архиве диагностической информации, если ее регистрация осуществляется отдельно от записей архива измерительной информации, должна быть не менее 256. В руководстве по эксплуатации Elkora-C30  в п.п.2.2.2. раздела 2.2 (стр. 26) указано среднечасовые значения каждого параметра хранятся 768 часов (32 – суток), среднесуточные параметры 96 суток (3 месяца), итоговые архивы по месяцам - 32 месяца что менее 3 лет.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ab/>
        <w:t>1.4.4. Действующий проект узла коммерческого учета тепловой энергии не соответствует требованиям п.44 Правил коммерческого учета тепловой энергии, теплоносителя от 18.11.2013г.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ab/>
        <w:t>В проекте отсутствует: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ab/>
        <w:t>- электрические и монтажные схемы подключения приборов учета;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ab/>
        <w:t>- настроечная база данных, вводимая в тепловычислитель;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ab/>
        <w:t>- схема пломбирования средств измерений и устройств, входящих в состав узла учета;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ab/>
        <w:t>- методика и формулы расчета тепловой энергии, теплоносителя;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ab/>
        <w:t>- формы отчетных ведомостей показаний приборов учета;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ab/>
        <w:t>- монтажные схемы установки расходомеров, датчиков температуры и датчиков давления.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ab/>
        <w:t>1.4.5.</w:t>
        <w:tab/>
        <w:t>Фактический диаметр трубопровода тепломагистралей ТМ1 и ТМ2  в местах установки акустических преобразователей расхода не соответствует проектным решениям в тепловой схеме 206-01-4420-ТМ «ОАО «Зейская ГЭС». Корректировка Р.П. реконструкции электрокотельной г.Зея».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ab/>
        <w:t>1.4.6. В составе узла коммерческого учета тепловой энергии не используется расходомер подпиточной воды. За расход подпитки приняты показания расходомера коммерческого учета холодной воды.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ab/>
        <w:t xml:space="preserve">1.4.7. В трассе ТМ2, на границе измерительных участков расходомеров </w:t>
      </w:r>
      <w:r>
        <w:rPr>
          <w:rStyle w:val="Style8"/>
          <w:b w:val="false"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узла коммерческого учета тепловой энергии </w:t>
      </w: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>установлена запорная арматура, работающая в режиме регулирования, что создает турбулентность потока теплоносителя и негативно сказывается на точности измерения расхода.</w:t>
      </w:r>
    </w:p>
    <w:p>
      <w:pPr>
        <w:pStyle w:val="Normal"/>
        <w:jc w:val="both"/>
        <w:rPr/>
      </w:pPr>
      <w:r>
        <w:rPr>
          <w:rStyle w:val="Style8"/>
          <w:b w:val="false"/>
          <w:bCs/>
          <w:i w:val="false"/>
          <w:sz w:val="24"/>
          <w:szCs w:val="24"/>
          <w:shd w:fill="auto" w:val="clear"/>
        </w:rPr>
        <w:tab/>
      </w:r>
    </w:p>
    <w:p>
      <w:pPr>
        <w:pStyle w:val="Heading1"/>
        <w:keepLines/>
        <w:numPr>
          <w:ilvl w:val="0"/>
          <w:numId w:val="0"/>
        </w:numPr>
        <w:spacing w:lineRule="auto" w:line="276" w:before="240" w:after="60"/>
        <w:ind w:left="0" w:right="0" w:hanging="0"/>
        <w:rPr>
          <w:sz w:val="24"/>
          <w:szCs w:val="24"/>
          <w:lang w:val="ru-RU"/>
        </w:rPr>
      </w:pPr>
      <w:bookmarkStart w:id="14" w:name="__RefHeading___Toc29973_560590387"/>
      <w:bookmarkStart w:id="15" w:name="_Toc54643699"/>
      <w:bookmarkEnd w:id="14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15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2007"/>
        <w:gridCol w:w="1980"/>
        <w:gridCol w:w="3396"/>
        <w:gridCol w:w="2052"/>
      </w:tblGrid>
      <w:tr>
        <w:trPr/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объекта </w:t>
              <w:br/>
            </w:r>
            <w:r>
              <w:rPr>
                <w:i/>
                <w:iCs/>
                <w:sz w:val="22"/>
                <w:szCs w:val="22"/>
              </w:rPr>
              <w:t>(место оказания услуг)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>
        <w:trPr/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C-30, ТМ-1) ЗЕ0024215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ПУ-9, ПУ-10</w:t>
            </w:r>
          </w:p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коммерческий учет ТМ1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C-30, ТМ-2) ЗЕ0024215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ПУ-11, ПУ-12</w:t>
            </w:r>
          </w:p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коммерческий учет ТМ2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0. Технический учет КЭВ 0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1. Технический учет КЭВ 1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2. Технический учет КЭВ 2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3. Технический учет КЭВ 3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4. Технический учет КЭВ 4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5. Технический учет КЭВ 5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6. Технический учет КЭВ 6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7. Технический учет КЭВ 7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8. Технический учет КЭВ 8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ПУ 31. Технический учет деаэрированной воды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 xml:space="preserve">ПУ 30. Технический учет подпиточной воды </w:t>
            </w:r>
          </w:p>
        </w:tc>
      </w:tr>
      <w:tr>
        <w:trPr>
          <w:trHeight w:val="794" w:hRule="atLeast"/>
        </w:trPr>
        <w:tc>
          <w:tcPr>
            <w:tcW w:w="4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Тепловодосчетчик ELKORA С-30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Амурская область, г.Зея, пер. Угольный 7</w:t>
            </w:r>
          </w:p>
        </w:tc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Оборудование электрокотельной п.Светлый (теплосчётчик ELKORA C-30) ЗЕ0024215</w:t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left"/>
              <w:rPr>
                <w:iCs/>
                <w:color w:val="1A1A1A"/>
                <w:sz w:val="22"/>
                <w:szCs w:val="22"/>
              </w:rPr>
            </w:pPr>
            <w:r>
              <w:rPr>
                <w:iCs/>
                <w:color w:val="1A1A1A"/>
                <w:sz w:val="22"/>
                <w:szCs w:val="22"/>
              </w:rPr>
              <w:t>ПУ 15. Технический учет перегретой воды</w:t>
            </w:r>
          </w:p>
        </w:tc>
      </w:tr>
    </w:tbl>
    <w:p>
      <w:pPr>
        <w:pStyle w:val="Heading4"/>
        <w:numPr>
          <w:ilvl w:val="1"/>
          <w:numId w:val="3"/>
        </w:numPr>
        <w:rPr/>
      </w:pPr>
      <w:bookmarkStart w:id="16" w:name="__RefHeading___Toc29975_560590387"/>
      <w:bookmarkStart w:id="17" w:name="_Toc54643700"/>
      <w:bookmarkStart w:id="18" w:name="_Toc46743509"/>
      <w:bookmarkStart w:id="19" w:name="_Hlk49857604"/>
      <w:bookmarkEnd w:id="16"/>
      <w:r>
        <w:rPr/>
        <w:t xml:space="preserve">Информация в отношении исполнения договора, </w:t>
      </w:r>
      <w:bookmarkStart w:id="20" w:name="_Hlk46492347"/>
      <w:r>
        <w:rPr/>
        <w:t xml:space="preserve">которая должна быть учтена при подготовке заявки </w:t>
      </w:r>
      <w:bookmarkEnd w:id="20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bookmarkEnd w:id="18"/>
      <w:bookmarkEnd w:id="19"/>
      <w:r>
        <w:rPr>
          <w:lang w:val="ru-RU"/>
        </w:rPr>
        <w:t xml:space="preserve"> </w:t>
      </w:r>
      <w:bookmarkEnd w:id="17"/>
    </w:p>
    <w:p>
      <w:pPr>
        <w:pStyle w:val="Heading4"/>
        <w:numPr>
          <w:ilvl w:val="0"/>
          <w:numId w:val="0"/>
        </w:numPr>
        <w:tabs>
          <w:tab w:val="clear" w:pos="708"/>
        </w:tabs>
        <w:spacing w:lineRule="auto" w:line="276"/>
        <w:ind w:left="0" w:right="0" w:hanging="0"/>
        <w:rPr/>
      </w:pPr>
      <w:bookmarkStart w:id="21" w:name="__RefHeading___Toc29977_560590387"/>
      <w:bookmarkStart w:id="22" w:name="_Toc157761966"/>
      <w:bookmarkStart w:id="23" w:name="_Hlk48209761_Копия_1"/>
      <w:bookmarkEnd w:id="21"/>
      <w:bookmarkEnd w:id="23"/>
      <w:r>
        <w:rPr>
          <w:b w:val="false"/>
          <w:bCs w:val="false"/>
        </w:rPr>
        <w:t>Заказчик предоставляет подрядчику:</w:t>
      </w:r>
      <w:bookmarkEnd w:id="22"/>
      <w:r>
        <w:rPr>
          <w:b w:val="false"/>
          <w:bCs w:val="false"/>
        </w:rPr>
        <w:t xml:space="preserve"> 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rPr>
          <w:i/>
          <w:i/>
        </w:rPr>
      </w:pPr>
      <w:r>
        <w:rPr>
          <w:rStyle w:val="Style8"/>
          <w:rFonts w:eastAsia="Times New Roman"/>
          <w:b w:val="false"/>
          <w:i w:val="false"/>
          <w:shd w:fill="auto" w:val="clear"/>
        </w:rPr>
        <w:t xml:space="preserve">1. Техническую документацию на эксплуатируемые узлы учёта тепловой энергии </w:t>
      </w:r>
      <w:r>
        <w:rPr>
          <w:rStyle w:val="Style8"/>
          <w:rFonts w:eastAsia="Times New Roman"/>
          <w:b w:val="false"/>
          <w:i w:val="false"/>
          <w:iCs/>
          <w:color w:val="000000"/>
          <w:shd w:fill="auto" w:val="clear"/>
        </w:rPr>
        <w:t>(Приложение 1)</w:t>
      </w:r>
      <w:r>
        <w:rPr>
          <w:rStyle w:val="Style8"/>
          <w:rFonts w:eastAsia="Times New Roman"/>
          <w:b w:val="false"/>
          <w:i w:val="false"/>
          <w:shd w:fill="auto" w:val="clear"/>
        </w:rPr>
        <w:t>;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rPr>
          <w:rFonts w:eastAsia="Times New Roman"/>
          <w:b w:val="false"/>
          <w:i w:val="false"/>
          <w:i w:val="false"/>
          <w:shd w:fill="auto" w:val="clear"/>
        </w:rPr>
      </w:pPr>
      <w:r>
        <w:rPr>
          <w:rStyle w:val="Style8"/>
          <w:rFonts w:eastAsia="Times New Roman"/>
          <w:b w:val="false"/>
          <w:i w:val="false"/>
          <w:iCs/>
          <w:shd w:fill="auto" w:val="clear"/>
          <w:lang w:val="ru-RU"/>
        </w:rPr>
        <w:t xml:space="preserve">2. Информацию о фактических значениях  расходов, температур и давлений за запрашиваемый подрядчиком период </w:t>
      </w:r>
      <w:r>
        <w:rPr>
          <w:rStyle w:val="Style8"/>
          <w:rFonts w:eastAsia="Times New Roman"/>
          <w:b w:val="false"/>
          <w:i w:val="false"/>
          <w:iCs/>
          <w:color w:val="000000"/>
          <w:shd w:fill="auto" w:val="clear"/>
          <w:lang w:val="ru-RU"/>
        </w:rPr>
        <w:t>(Приложение 2)</w:t>
      </w:r>
      <w:r>
        <w:rPr>
          <w:rStyle w:val="Style8"/>
          <w:rFonts w:eastAsia="Times New Roman"/>
          <w:b w:val="false"/>
          <w:i w:val="false"/>
          <w:iCs/>
          <w:shd w:fill="auto" w:val="clear"/>
          <w:lang w:val="ru-RU"/>
        </w:rPr>
        <w:t>;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rPr>
          <w:rFonts w:eastAsia="Times New Roman"/>
          <w:b w:val="false"/>
          <w:i w:val="false"/>
          <w:i w:val="false"/>
          <w:shd w:fill="auto" w:val="clear"/>
        </w:rPr>
      </w:pPr>
      <w:r>
        <w:rPr>
          <w:rStyle w:val="Style8"/>
          <w:rFonts w:eastAsia="Times New Roman"/>
          <w:b w:val="false"/>
          <w:i w:val="false"/>
          <w:iCs/>
          <w:shd w:fill="auto" w:val="clear"/>
          <w:lang w:val="ru-RU"/>
        </w:rPr>
        <w:t xml:space="preserve">3. Температурный график </w:t>
      </w:r>
      <w:r>
        <w:rPr>
          <w:rStyle w:val="Style8"/>
          <w:rFonts w:eastAsia="Times New Roman"/>
          <w:b w:val="false"/>
          <w:i w:val="false"/>
          <w:iCs/>
          <w:color w:val="000000"/>
          <w:shd w:fill="auto" w:val="clear"/>
          <w:lang w:val="ru-RU"/>
        </w:rPr>
        <w:t>(Приложение 3)</w:t>
      </w:r>
      <w:r>
        <w:rPr>
          <w:rStyle w:val="Style8"/>
          <w:rFonts w:eastAsia="Times New Roman"/>
          <w:b w:val="false"/>
          <w:i w:val="false"/>
          <w:iCs/>
          <w:shd w:fill="auto" w:val="clear"/>
          <w:lang w:val="ru-RU"/>
        </w:rPr>
        <w:t>;</w:t>
      </w:r>
    </w:p>
    <w:p>
      <w:pPr>
        <w:pStyle w:val="Normal"/>
        <w:rPr>
          <w:rStyle w:val="Style8"/>
          <w:b w:val="false"/>
          <w:bCs/>
          <w:sz w:val="24"/>
          <w:szCs w:val="24"/>
          <w:lang w:val="ru-RU"/>
        </w:rPr>
      </w:pPr>
      <w:r>
        <w:rPr>
          <w:b w:val="false"/>
          <w:bCs/>
          <w:sz w:val="24"/>
          <w:szCs w:val="24"/>
          <w:lang w:val="ru-RU"/>
        </w:rPr>
      </w:r>
      <w:bookmarkStart w:id="24" w:name="_Toc50125126"/>
      <w:bookmarkStart w:id="25" w:name="_Toc50125126"/>
      <w:bookmarkEnd w:id="25"/>
    </w:p>
    <w:p>
      <w:pPr>
        <w:pStyle w:val="Heading1"/>
        <w:keepLines/>
        <w:numPr>
          <w:ilvl w:val="0"/>
          <w:numId w:val="3"/>
        </w:numPr>
        <w:ind w:left="357" w:right="0" w:hanging="357"/>
        <w:jc w:val="center"/>
        <w:rPr>
          <w:iCs/>
          <w:caps/>
          <w:lang w:val="ru-RU"/>
        </w:rPr>
      </w:pPr>
      <w:bookmarkStart w:id="26" w:name="__RefHeading___Toc29979_560590387"/>
      <w:bookmarkStart w:id="27" w:name="_Toc51339693"/>
      <w:bookmarkStart w:id="28" w:name="_Toc54643702"/>
      <w:bookmarkEnd w:id="26"/>
      <w:r>
        <w:rPr>
          <w:iCs/>
          <w:lang w:val="ru-RU"/>
        </w:rPr>
        <w:t>Требования</w:t>
      </w:r>
      <w:r>
        <w:rPr>
          <w:iCs/>
        </w:rPr>
        <w:t xml:space="preserve"> к продукции</w:t>
      </w:r>
      <w:bookmarkEnd w:id="27"/>
      <w:bookmarkEnd w:id="28"/>
    </w:p>
    <w:p>
      <w:pPr>
        <w:pStyle w:val="Heading4"/>
        <w:numPr>
          <w:ilvl w:val="1"/>
          <w:numId w:val="3"/>
        </w:numPr>
        <w:rPr/>
      </w:pPr>
      <w:bookmarkStart w:id="29" w:name="__RefHeading___Toc29981_560590387"/>
      <w:bookmarkStart w:id="30" w:name="_Toc54643703"/>
      <w:bookmarkEnd w:id="29"/>
      <w:r>
        <w:rPr/>
        <w:t xml:space="preserve">Требования к объемам и срокам </w:t>
      </w:r>
      <w:r>
        <w:rPr>
          <w:lang w:val="ru-RU"/>
        </w:rPr>
        <w:t>оказания услуг</w:t>
      </w:r>
      <w:bookmarkEnd w:id="30"/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31" w:name="__RefHeading___Toc29983_560590387"/>
      <w:bookmarkStart w:id="32" w:name="_Toc54643704"/>
      <w:bookmarkEnd w:id="31"/>
      <w:r>
        <w:rPr>
          <w:lang w:val="ru-RU"/>
        </w:rPr>
        <w:t>Требования к перечню и объему услуг</w:t>
      </w:r>
      <w:bookmarkEnd w:id="32"/>
    </w:p>
    <w:p>
      <w:pPr>
        <w:pStyle w:val="Heading1"/>
        <w:keepLines/>
        <w:numPr>
          <w:ilvl w:val="0"/>
          <w:numId w:val="0"/>
        </w:numPr>
        <w:spacing w:before="240" w:after="60"/>
        <w:ind w:left="0" w:right="0" w:hanging="0"/>
        <w:rPr>
          <w:sz w:val="24"/>
          <w:szCs w:val="24"/>
          <w:lang w:val="ru-RU"/>
        </w:rPr>
      </w:pPr>
      <w:bookmarkStart w:id="33" w:name="__RefHeading___Toc29985_560590387"/>
      <w:bookmarkStart w:id="34" w:name="_Toc54643705"/>
      <w:bookmarkStart w:id="35" w:name="_Toc51339695"/>
      <w:bookmarkEnd w:id="3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35"/>
      <w:r>
        <w:rPr>
          <w:sz w:val="24"/>
          <w:szCs w:val="24"/>
          <w:lang w:val="ru-RU"/>
        </w:rPr>
        <w:t>и объем оказываемых услуг</w:t>
      </w:r>
      <w:bookmarkEnd w:id="34"/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6819"/>
        <w:gridCol w:w="1415"/>
        <w:gridCol w:w="960"/>
      </w:tblGrid>
      <w:tr>
        <w:trPr/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Проведение предпроектного обследования с проведением инструментального обследования: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- анализ документов;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- анализ расходов по точкам учета (таблица №1) за 3 года;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- визуальный осмотр объекта;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- инженерный анализ объекта (прочностные расчёты, тепловые расчёты, расчёты магнитных и электрических полей);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- инструментальные и лабораторные работы.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Оформление отчета в виде документа: «Отчет о предпроектном обследовании УУТЭ п.Светлый Зейской ГЭС».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точек учета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>
        <w:trPr>
          <w:trHeight w:val="608" w:hRule="atLeast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Разработка и согласование рабочей документации с заказчиком, в том числе: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- разработка сметной документации;</w:t>
              <w:br/>
              <w:t>- р</w:t>
            </w: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 xml:space="preserve">азработка проекта </w:t>
            </w:r>
            <w:r>
              <w:rPr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производства работ;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- р</w:t>
            </w:r>
            <w:r>
              <w:rPr>
                <w:rStyle w:val="Style8"/>
                <w:rFonts w:eastAsia="Times New Roman" w:cs="Times New Roman"/>
                <w:b w:val="false"/>
                <w:bCs/>
                <w:i w:val="false"/>
                <w:iCs w:val="false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азработка технического задания и спецификации на поставку оборудования, подготовка ТКП и конъюнктурного анализа для закупки оборудования заказчиком.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точек учета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14</w:t>
            </w:r>
          </w:p>
        </w:tc>
      </w:tr>
    </w:tbl>
    <w:p>
      <w:pPr>
        <w:pStyle w:val="Heading3"/>
        <w:numPr>
          <w:ilvl w:val="2"/>
          <w:numId w:val="3"/>
        </w:numPr>
        <w:rPr>
          <w:lang w:val="ru-RU"/>
        </w:rPr>
      </w:pPr>
      <w:bookmarkStart w:id="36" w:name="__RefHeading___Toc29987_560590387"/>
      <w:bookmarkStart w:id="37" w:name="_Toc54643706"/>
      <w:bookmarkStart w:id="38" w:name="_Toc51339696"/>
      <w:bookmarkEnd w:id="36"/>
      <w:r>
        <w:rPr>
          <w:lang w:val="ru-RU"/>
        </w:rPr>
        <w:t xml:space="preserve">Требования </w:t>
      </w:r>
      <w:bookmarkEnd w:id="38"/>
      <w:r>
        <w:rPr>
          <w:lang w:val="ru-RU"/>
        </w:rPr>
        <w:t>к срокам оказания услуг</w:t>
      </w:r>
      <w:bookmarkEnd w:id="37"/>
    </w:p>
    <w:p>
      <w:pPr>
        <w:pStyle w:val="Heading1"/>
        <w:keepLines/>
        <w:numPr>
          <w:ilvl w:val="0"/>
          <w:numId w:val="0"/>
        </w:numPr>
        <w:spacing w:lineRule="auto" w:line="276" w:before="240" w:after="60"/>
        <w:ind w:left="0" w:right="0" w:hanging="0"/>
        <w:rPr>
          <w:sz w:val="24"/>
          <w:szCs w:val="24"/>
          <w:lang w:val="ru-RU"/>
        </w:rPr>
      </w:pPr>
      <w:bookmarkStart w:id="39" w:name="__RefHeading___Toc29989_560590387"/>
      <w:bookmarkStart w:id="40" w:name="_Toc51339697"/>
      <w:bookmarkStart w:id="41" w:name="_Toc50125126_Копия_1"/>
      <w:bookmarkStart w:id="42" w:name="_Toc50125127"/>
      <w:bookmarkStart w:id="43" w:name="_Toc54643707"/>
      <w:bookmarkEnd w:id="39"/>
      <w:bookmarkEnd w:id="4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44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40"/>
      <w:bookmarkEnd w:id="42"/>
      <w:bookmarkEnd w:id="44"/>
      <w:r>
        <w:rPr>
          <w:sz w:val="24"/>
          <w:szCs w:val="24"/>
          <w:lang w:val="ru-RU"/>
        </w:rPr>
        <w:t>оказания услуг</w:t>
      </w:r>
      <w:bookmarkEnd w:id="43"/>
    </w:p>
    <w:tbl>
      <w:tblPr>
        <w:tblW w:w="9824" w:type="dxa"/>
        <w:jc w:val="left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4161"/>
        <w:gridCol w:w="2460"/>
        <w:gridCol w:w="2533"/>
      </w:tblGrid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070" w:hRule="atLeast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/>
            </w:pPr>
            <w:r>
              <w:rPr/>
              <w:t>1.</w:t>
            </w:r>
          </w:p>
        </w:tc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срок выполнения работ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01.09.2026г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30.05.2027г</w:t>
            </w:r>
          </w:p>
        </w:tc>
      </w:tr>
      <w:tr>
        <w:trPr>
          <w:trHeight w:val="1020" w:hRule="atLeast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/>
            </w:pPr>
            <w:r>
              <w:rPr/>
              <w:t>2.</w:t>
            </w:r>
          </w:p>
        </w:tc>
        <w:tc>
          <w:tcPr>
            <w:tcW w:w="4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/>
              </w:rPr>
              <w:t>Проведение предпроектного обследования с проведением инструментального обследования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01.09.2026г</w:t>
            </w: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30.11.2026г</w:t>
            </w:r>
          </w:p>
        </w:tc>
      </w:tr>
      <w:tr>
        <w:trPr/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ind w:left="0" w:right="0" w:hanging="0"/>
              <w:jc w:val="center"/>
              <w:rPr/>
            </w:pPr>
            <w:r>
              <w:rPr/>
              <w:t>3.</w:t>
            </w:r>
          </w:p>
        </w:tc>
        <w:tc>
          <w:tcPr>
            <w:tcW w:w="4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rStyle w:val="Style8"/>
                <w:b w:val="false"/>
                <w:i w:val="false"/>
                <w:sz w:val="24"/>
                <w:szCs w:val="24"/>
                <w:shd w:fill="auto" w:val="clear"/>
              </w:rPr>
              <w:t>Разработка рабочей документации на техническое перевооружение узла коммерческого и технического учета тепловой энергии.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01.12.2026г</w:t>
            </w:r>
          </w:p>
        </w:tc>
        <w:tc>
          <w:tcPr>
            <w:tcW w:w="2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30.05.2027г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737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45" w:name="__RefHeading___Toc29991_560590387"/>
      <w:bookmarkStart w:id="46" w:name="_Toc54643709"/>
      <w:bookmarkStart w:id="47" w:name="_Toc51339698"/>
      <w:bookmarkStart w:id="48" w:name="_Toc54643708"/>
      <w:bookmarkStart w:id="49" w:name="_Toc46743511"/>
      <w:bookmarkEnd w:id="45"/>
      <w:r>
        <w:rPr/>
        <w:t xml:space="preserve">Требования к </w:t>
      </w:r>
      <w:bookmarkEnd w:id="49"/>
      <w:r>
        <w:rPr>
          <w:lang w:val="ru-RU"/>
        </w:rPr>
        <w:t>качеству услуг</w:t>
      </w:r>
      <w:bookmarkEnd w:id="48"/>
    </w:p>
    <w:p>
      <w:pPr>
        <w:pStyle w:val="Heading1"/>
        <w:keepLines/>
        <w:numPr>
          <w:ilvl w:val="0"/>
          <w:numId w:val="0"/>
        </w:numPr>
        <w:spacing w:before="240" w:after="60"/>
        <w:ind w:left="0" w:right="0" w:hanging="0"/>
        <w:rPr>
          <w:sz w:val="24"/>
          <w:szCs w:val="24"/>
        </w:rPr>
      </w:pPr>
      <w:bookmarkStart w:id="50" w:name="__RefHeading___Toc29993_560590387"/>
      <w:bookmarkEnd w:id="50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47"/>
      <w:r>
        <w:rPr>
          <w:sz w:val="24"/>
          <w:szCs w:val="24"/>
          <w:lang w:val="ru-RU"/>
        </w:rPr>
        <w:t>качеству услуг</w:t>
      </w:r>
      <w:bookmarkEnd w:id="46"/>
    </w:p>
    <w:p>
      <w:pPr>
        <w:pStyle w:val="Normal"/>
        <w:rPr>
          <w:b w:val="false"/>
        </w:rPr>
      </w:pPr>
      <w:r>
        <w:rPr>
          <w:rStyle w:val="Style8"/>
          <w:b w:val="false"/>
        </w:rPr>
        <w:t xml:space="preserve"> </w:t>
      </w:r>
    </w:p>
    <w:tbl>
      <w:tblPr>
        <w:tblW w:w="1488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979"/>
        <w:gridCol w:w="5776"/>
        <w:gridCol w:w="2100"/>
        <w:gridCol w:w="2100"/>
        <w:gridCol w:w="1969"/>
      </w:tblGrid>
      <w:tr>
        <w:trPr/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9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7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bookmarkStart w:id="51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51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360" w:right="0" w:hanging="360"/>
              <w:jc w:val="center"/>
              <w:rPr/>
            </w:pPr>
            <w:r>
              <w:rPr/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оказанию услуг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>
          <w:trHeight w:val="416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1.1.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Общие требования к оказанию услуг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1.1.1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Последовательность </w:t>
            </w:r>
            <w:r>
              <w:rPr>
                <w:sz w:val="24"/>
                <w:szCs w:val="24"/>
                <w:lang w:val="ru-RU" w:eastAsia="ru-RU" w:bidi="ar-SA"/>
              </w:rPr>
              <w:t>выполнения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работ.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Проведение предпроектного обследования.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2. </w:t>
            </w:r>
            <w:r>
              <w:rPr>
                <w:rFonts w:eastAsia="Times New Roman" w:cs="Times New Roman"/>
                <w:kern w:val="0"/>
                <w:sz w:val="24"/>
                <w:szCs w:val="24"/>
                <w:u w:val="none"/>
                <w:lang w:val="ru-RU" w:eastAsia="ru-RU" w:bidi="ar-SA"/>
              </w:rPr>
              <w:t>Разработка рабочей документации.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Проведение согласований рабочей документации с заказчиком;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Разработка сметной документации (ССР, ЛСР);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5. Разработка проекта производства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  Разработка технического задания и спецификации на поставку оборудования, подготовка ТКП и конъюнктурного анализа для закупки оборудования заказчиком.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 Разработка ведомости объема работ.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rPr/>
            </w:pPr>
            <w:r>
              <w:rPr/>
              <w:t>1.1.2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Границы </w:t>
            </w:r>
            <w:r>
              <w:rPr>
                <w:rStyle w:val="Style8"/>
                <w:b w:val="false"/>
                <w:i w:val="false"/>
                <w:kern w:val="0"/>
                <w:sz w:val="24"/>
                <w:szCs w:val="24"/>
                <w:shd w:fill="auto" w:val="clear"/>
                <w:lang w:val="ru-RU" w:bidi="ar-SA"/>
              </w:rPr>
              <w:t>технического перевооружения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0" w:after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Границы </w:t>
            </w:r>
            <w:r>
              <w:rPr>
                <w:rStyle w:val="Style8"/>
                <w:b w:val="false"/>
                <w:i w:val="false"/>
                <w:kern w:val="0"/>
                <w:sz w:val="24"/>
                <w:szCs w:val="24"/>
                <w:shd w:fill="auto" w:val="clear"/>
                <w:lang w:val="ru-RU" w:bidi="ar-SA"/>
              </w:rPr>
              <w:t>технического перевооружения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 указаны на тепловой схеме в приложении 4.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right="0" w:hanging="0"/>
              <w:rPr/>
            </w:pPr>
            <w:r>
              <w:rPr/>
              <w:t>1.1.3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норм и правил, действующих НТД  при выполнении работ на объекте Заказчика 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коммерческого учёта тепловой энергии, теплоносителя, утверждённых постановлением Правительства Российской Федерации от 18 ноября 2013 г. № 1034.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Правила устройства и безопасной эксплуатации трубопроводов пара и горячей воды (ПБ 10-573-03) утв. постановлением Госгортехнадзора РФ от 11 июня 2003 г. № 90.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Правила техники безопасности при эксплуатации тепломеханического оборудования электростанций и тепловых сетей, утв. Министерством топлива и энергетики Российской Федерации 3 апреля 1997 г.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Правила устройства электроустановок.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Правила технической эксплуатации тепловых энергоустановок, утв. приказом Минэнерго РФ от 24 марта 2003 г. № 115.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СП 510.1325800.2022 «Тепловые пункты и системы внутреннего теплоснабжения».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ГОСТ Р 2.610-2019: «Правила выполнения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эксплуатационных документов».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ГОСТ 21.408-2013: «Правила выполнения рабочей документации автоматизации технологических процессов».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ГОСТ 2.701-2008: «Единая система конструкторской документации. Схемы. Виды и типы. Общие требования к выполнению».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ГОСТ 21.208-2013: «Автоматизация технологических процессов. Обозначения условные приборов и средств автоматизации в схемах».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ГОСТ 21.110-2013: СПДС «Правила выполнения спецификации оборудования, изделий и материалов».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ГОСТ Р 21.101-2020 «Система проектной документации для строительства. Основные требования к проектной и рабочей документации».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Методика гидравлического расчёта конфузорно-диффузорных переходов. ВИСИ, Санкт-Петербург, 1996 г;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Федеральный закон "Об обеспечении единства измерений" от 26.06.2008 N 102-ФЗ.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Методика осуществления коммерческого учета тепловой энергии, теплоносителя (Приказ Минстроя России от 17.03.2014 N 99/пр)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1.2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способам оказания услуг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1.2.1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Информация о способах оказания услуг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iCs/>
              </w:rPr>
            </w:pPr>
            <w:r>
              <w:rPr>
                <w:iCs/>
                <w:sz w:val="24"/>
                <w:szCs w:val="24"/>
              </w:rPr>
              <w:t>Инструментальное обследование должно выполняться с применением методов неразрушающего контроля.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1.3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1.3.1.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 – технические мероприятия по допуску персонала исполнителя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Допуск персонала Исполнителя на объектах Филиала осуществляется в строгом соответствии с «Положением о допуске персонала строительно-монтажных организаций и командированного персонала к выполнению работ на объектах филиала ПАО «РусГидро» - «Зейская ГЭС».</w:t>
            </w:r>
          </w:p>
          <w:p>
            <w:pPr>
              <w:pStyle w:val="Normal"/>
              <w:widowControl w:val="false"/>
              <w:suppressAutoHyphens w:val="tru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Производство работ в отведенной зоне оформляется актом-допуском, нарядом-допуском или распоряжением.</w:t>
            </w:r>
          </w:p>
          <w:p>
            <w:pPr>
              <w:pStyle w:val="Normal"/>
              <w:widowControl w:val="false"/>
              <w:suppressAutoHyphens w:val="tru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Исполнитель обеспечивает прохождение вводного инструктажа в Службе охраны труда и производственного контроля Филиала и первичного инструктажа у начальника курирующей службы.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1.4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1.4.1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материально-техническому оснащению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документы о материально-технических ресурсах, подтверждающие наличие специального инструмента, приспособлений, оборудования, необходимого для оказания услуг.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Предоставление подтверждающих документов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1.5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1.5.1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оказанию услуг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у исполнителя </w:t>
            </w:r>
            <w:r>
              <w:rPr>
                <w:iCs/>
                <w:sz w:val="24"/>
                <w:szCs w:val="24"/>
              </w:rPr>
              <w:t xml:space="preserve">или привлечённого на основании договоров гражданского-правового характера (договор ГПХ) </w:t>
            </w:r>
            <w:r>
              <w:rPr>
                <w:sz w:val="24"/>
                <w:szCs w:val="24"/>
              </w:rPr>
              <w:t>квалифицированного персонала, имеющего группу по электробезопасности не ниже 3,  группы 1, 2 по безопасности работ на высоте. Соответствие данному требованию подтверждается</w:t>
            </w:r>
            <w:r>
              <w:rPr>
                <w:color w:val="4F81BD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предоставлением в составе заявки копий дипломов, аттестационных удостоверений о квалификации, удостоверений о проверке знаний.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2.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слуг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2.1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услуг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2.1.1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Рабочая документация должен содержать: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Принципиальную схему узла/узлов коммерческого учета тепловой энергии;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Принципиальную схему узла технического учета вырабатываемой тепловой энергии КЭВ 0...8;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Принципиальную схему узла учета тепловых потерь в БА и деаэраторе;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Функциональную схему измерения параметров теплоносителя;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Схему установки первичных преобразователей на трубопроводах, с соблюдением длин прямых участков, указанных в паспортных данных на приборы;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План помещения с указанием мест установки приборов  учёта и кабельных проводок.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Принципиальную электрическую схему подключения приборов;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Схему внешних соединений первичных преобразователей с тепловычислителями;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Электрическую схему питания;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Чертёж общего вида шкафа системы учёта;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Спецификацию на оборудование, приборы материалы, в том числе на ЗРА для трассы ТМ2;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Схему пломбирования средств измерений и устройств, входящих в состав системы коммерческого учета тепловой энергии;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Схему внешних соединений тепловычислителей с АСУ ТП электрокотельной.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Свидетельства о поверке средств измерения или отметка о поверке в ФГИС Аршин с  не истекшим сроком.</w:t>
            </w:r>
          </w:p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Программа пусконаладочных работ в части АСУ ТП.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2.2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lineRule="auto" w:line="240" w:before="60" w:after="0"/>
              <w:rPr/>
            </w:pPr>
            <w:r>
              <w:rPr>
                <w:rStyle w:val="Style8"/>
                <w:rFonts w:eastAsia="Times New Roman" w:cs="Times New Roman"/>
                <w:b/>
                <w:bCs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Требования к расчётам и выбору средств измерений.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2.2.1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 Типы приборов внесены в Государственный реестр средств измерения.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 Выбор верхнего и нижнего предела измерения обеспечивают измерение фактического расхода теплоносителя как в отопительный, так и в неотопительный период.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 Обеспечена возможность пломбирования приборов учёта.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4. Исполнение преобразователей расхода/измерительного участка должно быть фланцевым для  обеспечения  вывода прибора в поверку.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lineRule="auto" w:line="240"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5. Выбор диаметра преобразователей расхода осуществлён на основании расчёта гидравлических потерь на участке монтажа первичных преобразователей (по «Методике гидравлического расчёта конфузорно-диффузорных переходов. ВИСИ, Санкт-Петербург, 1996 г.).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6. Характеристики устанавливаемых средств измерений соответствуют Федеральному закону "Об обеспечении единства измерений" от 26.06.2008 N 102-ФЗ, Правилам коммерческого учёта тепловой энергии, теплоносителя и Методике осуществления коммерческого учета тепловой энергии, теплоносителя.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7. Тепловычислители, устройства преобразования и передачи информации, блоки питания, светосигнальная арматура, автоматические выключатели и другие устройства, относящиеся к узлу/узлам коммерческого учета, должны быть установлены в металлический шкаф с монтажной панелью типа ШМП с степенью защиты не менее IP 54.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8. Тепловычислитель оснащён последовательным интерфейсом RS-485 для интеграции в АСУ ТП электрокотельной.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9. Шкаф узла коммерческого учета тепловой энергии оснащён промышленным сервером последовательных интерфейсов RS485/Ethernet.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10. Тепловычислитель оснащён техническими и программными средствами для его настройки и считывания архивных данных с использованием интерфейсов — </w:t>
            </w:r>
            <w:r>
              <w:rPr>
                <w:iCs/>
                <w:color w:val="000000"/>
                <w:sz w:val="24"/>
                <w:szCs w:val="24"/>
              </w:rPr>
              <w:t>RS-485/232 или USB</w:t>
            </w:r>
            <w:r>
              <w:rPr>
                <w:iCs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11. Тепловычислитель оснащен не менее чем двумя тепловыми вводами (теплосистемами).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12. В качестве сервера для сбора и обработки данных системы технического и коммерческого учета, предусмотреть установку АРМ в помещении центрального пульта управления.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13. В соответствии с приказом министерства жилищно-коммунального хозяйства Амурской области от 02.07.2024 №276-од «О создании государственной информационной системы «Региональная система мониторинга и диспетчеризации энергетических ресурсов Амурской области», узел коммерческого учета тепловой энергии должен быть оснащен средствами связи для передачи данных посредством сотовой связи в  Региональную систему мониторинга и диспетчеризации энергетических ресурсов Амурской области.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2.3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lang w:val="ru-RU" w:eastAsia="ru-RU" w:bidi="ar-SA"/>
              </w:rPr>
              <w:t>Требования к форме предоставления результата.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2.3.1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0" w:after="0"/>
              <w:ind w:left="0" w:right="0" w:firstLine="316"/>
              <w:jc w:val="both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Текстовая часть (пояснительная записка, план-график, описание алгоритмов работы, перечень томов РД, сметные расчеты, перечни команд и прочее) предоставляется: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0" w:after="0"/>
              <w:ind w:left="0" w:right="0" w:hanging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- в электронном виде, с возможностью редактирования, в формате </w:t>
            </w:r>
            <w:r>
              <w:rPr>
                <w:kern w:val="0"/>
                <w:sz w:val="24"/>
                <w:szCs w:val="24"/>
                <w:lang w:val="en-US" w:bidi="ar-SA"/>
              </w:rPr>
              <w:t>docx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, </w:t>
            </w:r>
            <w:r>
              <w:rPr>
                <w:kern w:val="0"/>
                <w:sz w:val="24"/>
                <w:szCs w:val="24"/>
                <w:lang w:val="en-US" w:bidi="ar-SA"/>
              </w:rPr>
              <w:t>doc (Microsoft)</w:t>
            </w:r>
            <w:r>
              <w:rPr>
                <w:kern w:val="0"/>
                <w:sz w:val="24"/>
                <w:szCs w:val="24"/>
                <w:lang w:val="ru-RU" w:bidi="ar-SA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0" w:after="0"/>
              <w:ind w:left="0" w:right="0" w:hanging="0"/>
              <w:jc w:val="both"/>
              <w:rPr/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- в электронном виде, без возможности правки, но с возможностью текстового поиска, в формате </w:t>
            </w:r>
            <w:r>
              <w:rPr>
                <w:kern w:val="0"/>
                <w:sz w:val="24"/>
                <w:szCs w:val="24"/>
                <w:lang w:val="en-US" w:bidi="ar-SA"/>
              </w:rPr>
              <w:t>pdf;</w:t>
            </w:r>
            <w:r>
              <w:rPr>
                <w:kern w:val="0"/>
                <w:sz w:val="24"/>
                <w:szCs w:val="24"/>
                <w:lang w:val="ru-RU" w:bidi="ar-SA"/>
              </w:rPr>
              <w:br/>
              <w:t>- в бумажном варианте - в трех экземплярах.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0" w:after="0"/>
              <w:ind w:left="0" w:right="0" w:firstLine="316"/>
              <w:jc w:val="both"/>
              <w:rPr>
                <w:iCs/>
                <w:kern w:val="0"/>
                <w:sz w:val="24"/>
                <w:szCs w:val="24"/>
                <w:lang w:val="ru-RU" w:bidi="ar-SA"/>
              </w:rPr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>Графическая часть (схемы, чертежи, кабельные журналы, схемы кабельных связей и прочее) предоставляются: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0" w:after="0"/>
              <w:ind w:left="0" w:right="0" w:hanging="0"/>
              <w:jc w:val="both"/>
              <w:rPr/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 xml:space="preserve">- в электронном виде, с возможностью правки в формате </w:t>
            </w:r>
            <w:r>
              <w:rPr>
                <w:iCs/>
                <w:kern w:val="0"/>
                <w:sz w:val="24"/>
                <w:szCs w:val="24"/>
                <w:lang w:val="en-US" w:bidi="ar-SA"/>
              </w:rPr>
              <w:t>Visio</w:t>
            </w:r>
            <w:r>
              <w:rPr>
                <w:iCs/>
                <w:kern w:val="0"/>
                <w:sz w:val="24"/>
                <w:szCs w:val="24"/>
                <w:lang w:val="ru-RU" w:bidi="ar-SA"/>
              </w:rPr>
              <w:t xml:space="preserve">, </w:t>
            </w:r>
            <w:r>
              <w:rPr>
                <w:iCs/>
                <w:kern w:val="0"/>
                <w:sz w:val="24"/>
                <w:szCs w:val="24"/>
                <w:lang w:val="en-US" w:bidi="ar-SA"/>
              </w:rPr>
              <w:t>AutoCAD</w:t>
            </w:r>
            <w:r>
              <w:rPr>
                <w:iCs/>
                <w:kern w:val="0"/>
                <w:sz w:val="24"/>
                <w:szCs w:val="24"/>
                <w:lang w:val="ru-RU" w:bidi="ar-SA"/>
              </w:rPr>
              <w:t>. Компас 3D;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pacing w:before="0" w:after="0"/>
              <w:ind w:left="0" w:right="0" w:hanging="0"/>
              <w:jc w:val="both"/>
              <w:rPr/>
            </w:pPr>
            <w:r>
              <w:rPr>
                <w:iCs/>
                <w:kern w:val="0"/>
                <w:sz w:val="24"/>
                <w:szCs w:val="24"/>
                <w:lang w:val="ru-RU" w:bidi="ar-SA"/>
              </w:rPr>
              <w:t xml:space="preserve">- в электронном виде, без возможности правки, но с возможностью текстового поиска, в формате </w:t>
            </w:r>
            <w:r>
              <w:rPr>
                <w:iCs/>
                <w:kern w:val="0"/>
                <w:sz w:val="24"/>
                <w:szCs w:val="24"/>
                <w:lang w:val="en-US" w:bidi="ar-SA"/>
              </w:rPr>
              <w:t>pdf</w:t>
            </w:r>
            <w:r>
              <w:rPr>
                <w:iCs/>
                <w:kern w:val="0"/>
                <w:sz w:val="24"/>
                <w:szCs w:val="24"/>
                <w:lang w:val="ru-RU" w:bidi="ar-SA"/>
              </w:rPr>
              <w:t>;</w:t>
              <w:br/>
              <w:t>- в бумажном варианте - в трех экземплярах.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3.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>
          <w:trHeight w:val="337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3.1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норм и правил нормативно – технических документов  при выполнении работ на объекте Заказчика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по охране труда при эксплуатации электроустановок. Приказ Минтруда России от 15.12.2020 № 903н.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Правила по охране труда при работе с инструментом и приспособлениями. Приказ Минтруда России от 27.11.2020 № 835н.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Инструкция «Оказание первой помощи при несчастных случаях на производстве электрической и тепловой энергии». Распоряжение ПАО «РусГидро» от 11.08.2021 № 353р.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Методика допуска персонала подрядных организаций к выполнению работ на объектах Общества (Зейская ГЭС) </w:t>
            </w:r>
            <w:r>
              <w:rPr>
                <w:sz w:val="24"/>
                <w:szCs w:val="24"/>
              </w:rPr>
              <w:t>(Приложение 5)</w:t>
            </w:r>
            <w:r>
              <w:rPr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rPr/>
            </w:pPr>
            <w:r>
              <w:rPr>
                <w:iCs/>
                <w:sz w:val="24"/>
                <w:szCs w:val="24"/>
              </w:rPr>
              <w:t xml:space="preserve">5. Методика поверки «Теплосчётчики ультразвуковые корреляционные </w:t>
            </w:r>
            <w:r>
              <w:rPr>
                <w:iCs/>
                <w:sz w:val="24"/>
                <w:szCs w:val="24"/>
                <w:lang w:val="en-US"/>
              </w:rPr>
              <w:t>ELKORA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  <w:lang w:val="en-US"/>
              </w:rPr>
              <w:t>C</w:t>
            </w:r>
            <w:r>
              <w:rPr>
                <w:iCs/>
                <w:sz w:val="24"/>
                <w:szCs w:val="24"/>
              </w:rPr>
              <w:t>-30».</w:t>
            </w:r>
          </w:p>
          <w:p>
            <w:pPr>
              <w:pStyle w:val="Normal"/>
              <w:widowControl w:val="false"/>
              <w:rPr/>
            </w:pPr>
            <w:r>
              <w:rPr>
                <w:iCs/>
                <w:sz w:val="24"/>
                <w:szCs w:val="24"/>
              </w:rPr>
              <w:t xml:space="preserve">6. Руководство по эксплуатации Е1.005РЭ «Теплосчётчик ультразвуковой корреляционный </w:t>
            </w:r>
            <w:r>
              <w:rPr>
                <w:iCs/>
                <w:sz w:val="24"/>
                <w:szCs w:val="24"/>
                <w:lang w:val="en-US"/>
              </w:rPr>
              <w:t>ELKORA</w:t>
            </w:r>
            <w:r>
              <w:rPr>
                <w:iCs/>
                <w:sz w:val="24"/>
                <w:szCs w:val="24"/>
              </w:rPr>
              <w:t xml:space="preserve"> С-30» №23148-07.</w:t>
            </w:r>
          </w:p>
          <w:p>
            <w:pPr>
              <w:pStyle w:val="Normal"/>
              <w:widowControl w:val="false"/>
              <w:rPr/>
            </w:pPr>
            <w:r>
              <w:rPr>
                <w:iCs/>
                <w:sz w:val="24"/>
                <w:szCs w:val="24"/>
              </w:rPr>
              <w:t>7. Постановление Правительства Российской Федерации от 18.11.2013 № 1034 «</w:t>
            </w:r>
            <w:r>
              <w:rPr/>
              <w:t xml:space="preserve"> </w:t>
            </w:r>
            <w:r>
              <w:rPr>
                <w:iCs/>
                <w:sz w:val="24"/>
                <w:szCs w:val="24"/>
              </w:rPr>
              <w:t>О коммерческом учёте тепловой энергии, теплоносителя».</w:t>
            </w:r>
          </w:p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8. Правила по охране труда при работе на высоте (приказ Министерства труда и социальной защиты</w:t>
            </w:r>
          </w:p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Российской Федерации от 16 ноября 2020 г. N 782н)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4.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4.1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результат оказания услуг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результат услуг должен составлять 24 месяца.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5.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5.1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/>
              <w:t>6.</w:t>
            </w:r>
          </w:p>
        </w:tc>
        <w:tc>
          <w:tcPr>
            <w:tcW w:w="7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Прочие требования к оказанию услуг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right="0" w:hanging="0"/>
              <w:jc w:val="center"/>
              <w:rPr/>
            </w:pPr>
            <w:r>
              <w:rPr/>
              <w:t>6.1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keepNext w:val="false"/>
              <w:widowControl w:val="false"/>
              <w:spacing w:before="0" w:after="0"/>
              <w:jc w:val="left"/>
              <w:rPr>
                <w:b w:val="false"/>
              </w:rPr>
            </w:pPr>
            <w:r>
              <w:rPr>
                <w:b w:val="false"/>
              </w:rPr>
              <w:t>Наличие лицензии или аккредитации о допуске к определенному виду работ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widowControl w:val="false"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</w:rPr>
              <w:t>Аккредитация на данный вид деятельности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keepNext w:val="false"/>
              <w:widowControl w:val="false"/>
              <w:spacing w:before="0" w:after="0"/>
              <w:jc w:val="left"/>
              <w:rPr>
                <w:b w:val="false"/>
                <w:bCs/>
                <w:i/>
                <w:i/>
              </w:rPr>
            </w:pPr>
            <w:r>
              <w:rPr>
                <w:b w:val="false"/>
                <w:bCs/>
                <w:i/>
              </w:rPr>
              <w:t>Согласие с требованием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8"/>
              <w:keepNext w:val="false"/>
              <w:widowControl w:val="false"/>
              <w:spacing w:before="0" w:after="0"/>
              <w:jc w:val="left"/>
              <w:rPr>
                <w:b w:val="false"/>
                <w:bCs/>
                <w:i/>
                <w:i/>
              </w:rPr>
            </w:pPr>
            <w:r>
              <w:rPr>
                <w:b w:val="false"/>
                <w:bCs/>
                <w:i/>
              </w:rPr>
              <w:t>Предоставление подтверждающих документов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right="0" w:hanging="0"/>
              <w:jc w:val="left"/>
              <w:outlineLvl w:val="2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992" w:right="567" w:gutter="0" w:header="680" w:top="1640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keepLines/>
        <w:numPr>
          <w:ilvl w:val="0"/>
          <w:numId w:val="3"/>
        </w:numPr>
        <w:ind w:left="357" w:right="0" w:hanging="357"/>
        <w:jc w:val="center"/>
        <w:rPr>
          <w:iCs/>
          <w:caps/>
        </w:rPr>
      </w:pPr>
      <w:bookmarkStart w:id="52" w:name="__RefHeading___Toc29995_560590387"/>
      <w:bookmarkStart w:id="53" w:name="_Toc51339699"/>
      <w:bookmarkStart w:id="54" w:name="_Toc46743519"/>
      <w:bookmarkEnd w:id="52"/>
      <w:bookmarkEnd w:id="53"/>
      <w:bookmarkEnd w:id="54"/>
      <w:r>
        <w:rPr>
          <w:iCs/>
          <w:lang w:val="ru-RU"/>
        </w:rPr>
        <w:t>Приложения</w:t>
      </w:r>
    </w:p>
    <w:p>
      <w:pPr>
        <w:pStyle w:val="Normal"/>
        <w:ind w:left="357" w:right="0" w:hanging="357"/>
        <w:jc w:val="center"/>
        <w:rPr>
          <w:iCs/>
          <w:caps/>
        </w:rPr>
      </w:pPr>
      <w:r>
        <w:rPr/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jc w:val="left"/>
        <w:rPr/>
      </w:pPr>
      <w:r>
        <w:rPr>
          <w:rStyle w:val="Style8"/>
          <w:rFonts w:eastAsia="Times New Roman"/>
          <w:b w:val="false"/>
          <w:i w:val="false"/>
          <w:iCs/>
          <w:color w:val="000000"/>
          <w:shd w:fill="auto" w:val="clear"/>
        </w:rPr>
        <w:t xml:space="preserve">Приложение 1 — </w:t>
      </w:r>
      <w:r>
        <w:rPr>
          <w:rStyle w:val="Style8"/>
          <w:rFonts w:eastAsia="Times New Roman"/>
          <w:b w:val="false"/>
          <w:i w:val="false"/>
          <w:shd w:fill="auto" w:val="clear"/>
        </w:rPr>
        <w:t>Техническая документация на эксплуатируемые узлы учёта тепловой энергии;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jc w:val="left"/>
        <w:rPr/>
      </w:pPr>
      <w:r>
        <w:rPr>
          <w:rStyle w:val="Style8"/>
          <w:rFonts w:eastAsia="Times New Roman"/>
          <w:b w:val="false"/>
          <w:i w:val="false"/>
          <w:iCs/>
          <w:color w:val="000000"/>
          <w:shd w:fill="auto" w:val="clear"/>
          <w:lang w:val="ru-RU"/>
        </w:rPr>
        <w:t xml:space="preserve">Приложение 2 — </w:t>
      </w:r>
      <w:r>
        <w:rPr>
          <w:rStyle w:val="Style8"/>
          <w:rFonts w:eastAsia="Times New Roman"/>
          <w:b w:val="false"/>
          <w:i w:val="false"/>
          <w:iCs/>
          <w:shd w:fill="auto" w:val="clear"/>
          <w:lang w:val="ru-RU"/>
        </w:rPr>
        <w:t>Информация о фактических значениях расходов, температур и давлений;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jc w:val="left"/>
        <w:rPr/>
      </w:pPr>
      <w:r>
        <w:rPr>
          <w:rStyle w:val="Style8"/>
          <w:rFonts w:eastAsia="Times New Roman"/>
          <w:b w:val="false"/>
          <w:i w:val="false"/>
          <w:iCs/>
          <w:color w:val="000000"/>
          <w:shd w:fill="auto" w:val="clear"/>
          <w:lang w:val="ru-RU"/>
        </w:rPr>
        <w:t>Приложение 3 — Температурный график;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jc w:val="left"/>
        <w:rPr/>
      </w:pPr>
      <w:r>
        <w:rPr>
          <w:rStyle w:val="Style8"/>
          <w:rFonts w:eastAsia="Times New Roman"/>
          <w:b w:val="false"/>
          <w:i w:val="false"/>
          <w:iCs/>
          <w:color w:val="000000"/>
          <w:shd w:fill="auto" w:val="clear"/>
          <w:lang w:val="ru-RU"/>
        </w:rPr>
        <w:t>Приложение 4 — Тепловая схема;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jc w:val="left"/>
        <w:rPr/>
      </w:pPr>
      <w:r>
        <w:rPr>
          <w:rStyle w:val="Style8"/>
          <w:rFonts w:eastAsia="Times New Roman"/>
          <w:b w:val="false"/>
          <w:i w:val="false"/>
          <w:iCs/>
          <w:color w:val="000000"/>
          <w:shd w:fill="auto" w:val="clear"/>
          <w:lang w:val="ru-RU"/>
        </w:rPr>
        <w:t>Приложение 5 — Методика допуска персонала подрядных организаций к выполнению работ на объектах Общества.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lineRule="auto" w:line="276" w:before="0" w:after="120"/>
        <w:ind w:left="360" w:right="0" w:hanging="0"/>
        <w:contextualSpacing/>
        <w:rPr>
          <w:rFonts w:eastAsia="Times New Roman"/>
          <w:b w:val="false"/>
          <w:i w:val="false"/>
          <w:i w:val="false"/>
          <w:shd w:fill="auto" w:val="clear"/>
        </w:rPr>
      </w:pPr>
      <w:r>
        <w:rPr/>
      </w:r>
    </w:p>
    <w:sectPr>
      <w:headerReference w:type="default" r:id="rId6"/>
      <w:headerReference w:type="first" r:id="rId7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numPr>
        <w:ilvl w:val="0"/>
        <w:numId w:val="0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>
    <w:name w:val="Default Paragraph Font"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1">
    <w:name w:val="Strong1"/>
    <w:qFormat/>
    <w:rPr>
      <w:b/>
      <w:bCs/>
    </w:rPr>
  </w:style>
  <w:style w:type="character" w:styleId="6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9">
    <w:name w:val="Заголовок 9 Знак"/>
    <w:qFormat/>
    <w:rPr>
      <w:rFonts w:ascii="Arial" w:hAnsi="Arial" w:cs="Arial"/>
      <w:sz w:val="22"/>
      <w:szCs w:val="22"/>
    </w:rPr>
  </w:style>
  <w:style w:type="character" w:styleId="Style1">
    <w:name w:val="Название Знак"/>
    <w:link w:val="14"/>
    <w:qFormat/>
    <w:rPr>
      <w:sz w:val="28"/>
    </w:rPr>
  </w:style>
  <w:style w:type="character" w:styleId="Style2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>
    <w:name w:val="Подпункт Знак1"/>
    <w:link w:val="Style22"/>
    <w:qFormat/>
    <w:rPr>
      <w:sz w:val="28"/>
    </w:rPr>
  </w:style>
  <w:style w:type="character" w:styleId="Style5">
    <w:name w:val="Текст сноски Знак"/>
    <w:qFormat/>
    <w:rPr/>
  </w:style>
  <w:style w:type="character" w:styleId="Style6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7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>
    <w:name w:val="комментарий"/>
    <w:qFormat/>
    <w:rPr>
      <w:b/>
      <w:i/>
      <w:shd w:fill="FFFF99" w:val="clear"/>
    </w:rPr>
  </w:style>
  <w:style w:type="character" w:styleId="Style9">
    <w:name w:val="Подподпункт Знак"/>
    <w:link w:val="Style30"/>
    <w:qFormat/>
    <w:rPr>
      <w:sz w:val="26"/>
      <w:szCs w:val="26"/>
    </w:rPr>
  </w:style>
  <w:style w:type="character" w:styleId="31">
    <w:name w:val="УРОВЕНЬ_Абзац_тип3 Знак"/>
    <w:link w:val="35"/>
    <w:qFormat/>
    <w:rPr>
      <w:rFonts w:eastAsia="Calibri"/>
      <w:sz w:val="26"/>
      <w:szCs w:val="28"/>
      <w:lang w:eastAsia="en-US"/>
    </w:rPr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Текст примечания Знак"/>
    <w:link w:val="Annotationtext"/>
    <w:qFormat/>
    <w:rPr/>
  </w:style>
  <w:style w:type="character" w:styleId="Style12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>
    <w:name w:val="Пункт2 Знак"/>
    <w:link w:val="24"/>
    <w:qFormat/>
    <w:rPr>
      <w:b/>
      <w:sz w:val="28"/>
    </w:rPr>
  </w:style>
  <w:style w:type="character" w:styleId="12">
    <w:name w:val="УРОВЕНЬ_1. Знак"/>
    <w:link w:val="18"/>
    <w:qFormat/>
    <w:rPr>
      <w:rFonts w:eastAsia="Calibri"/>
      <w:caps/>
      <w:sz w:val="28"/>
      <w:szCs w:val="28"/>
      <w:lang w:eastAsia="en-US"/>
    </w:rPr>
  </w:style>
  <w:style w:type="character" w:styleId="Style14">
    <w:name w:val="Ссылка указателя"/>
    <w:qFormat/>
    <w:rPr/>
  </w:style>
  <w:style w:type="character" w:styleId="Style15">
    <w:name w:val="Символ нумерации"/>
    <w:qFormat/>
    <w:rPr/>
  </w:style>
  <w:style w:type="character" w:styleId="Strong">
    <w:name w:val="Strong"/>
    <w:qFormat/>
    <w:rPr>
      <w:b/>
      <w:bCs/>
    </w:rPr>
  </w:style>
  <w:style w:type="character" w:styleId="LineNumber">
    <w:name w:val="Line Number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Style18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19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3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right="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right="0" w:hanging="1134"/>
      <w:jc w:val="both"/>
    </w:pPr>
    <w:rPr>
      <w:szCs w:val="20"/>
      <w:lang w:val="x-none" w:eastAsia="x-none"/>
    </w:rPr>
  </w:style>
  <w:style w:type="paragraph" w:styleId="24">
    <w:name w:val="Пункт2"/>
    <w:basedOn w:val="Normal"/>
    <w:link w:val="22"/>
    <w:qFormat/>
    <w:pPr>
      <w:keepNext w:val="true"/>
      <w:numPr>
        <w:ilvl w:val="0"/>
        <w:numId w:val="0"/>
      </w:numPr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ind w:left="280" w:right="0" w:hanging="0"/>
    </w:pPr>
    <w:rPr>
      <w:rFonts w:cs="Calibri"/>
      <w:sz w:val="20"/>
      <w:szCs w:val="20"/>
    </w:rPr>
  </w:style>
  <w:style w:type="paragraph" w:styleId="Style23">
    <w:name w:val="Раздел регламента"/>
    <w:basedOn w:val="Normal"/>
    <w:qFormat/>
    <w:pPr/>
    <w:rPr/>
  </w:style>
  <w:style w:type="paragraph" w:styleId="Style24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5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right="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right="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pPr>
      <w:tabs>
        <w:tab w:val="clear" w:pos="708"/>
        <w:tab w:val="left" w:pos="1120" w:leader="none"/>
        <w:tab w:val="right" w:pos="9911" w:leader="none"/>
      </w:tabs>
      <w:ind w:left="560" w:right="0" w:hanging="0"/>
    </w:pPr>
    <w:rPr>
      <w:rFonts w:cs="Calibri"/>
      <w:sz w:val="20"/>
      <w:szCs w:val="20"/>
    </w:rPr>
  </w:style>
  <w:style w:type="paragraph" w:styleId="25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25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right="0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6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>
    <w:name w:val="Подподпункт"/>
    <w:basedOn w:val="Style22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right="0" w:hanging="567"/>
    </w:pPr>
    <w:rPr>
      <w:sz w:val="26"/>
      <w:szCs w:val="26"/>
      <w:lang w:val="ru-RU" w:eastAsia="ru-RU"/>
    </w:rPr>
  </w:style>
  <w:style w:type="paragraph" w:styleId="Style3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uppressAutoHyphens w:val="true"/>
      <w:spacing w:before="480" w:after="240"/>
      <w:ind w:left="567" w:right="0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>
    <w:name w:val="Заголовок 2 КВВ"/>
    <w:basedOn w:val="Normal"/>
    <w:qFormat/>
    <w:pPr>
      <w:keepNext w:val="true"/>
      <w:numPr>
        <w:ilvl w:val="0"/>
        <w:numId w:val="5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8">
    <w:name w:val="УРОВЕНЬ_1."/>
    <w:basedOn w:val="ListParagraph"/>
    <w:link w:val="12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right="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right="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right="0" w:hanging="0"/>
    </w:pPr>
    <w:rPr>
      <w:rFonts w:ascii="Calibri" w:hAnsi="Calibri" w:cs="Calibri"/>
      <w:sz w:val="20"/>
      <w:szCs w:val="20"/>
    </w:rPr>
  </w:style>
  <w:style w:type="paragraph" w:styleId="Style34">
    <w:name w:val="Содержимое врезки"/>
    <w:basedOn w:val="Normal"/>
    <w:qFormat/>
    <w:pPr/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19">
    <w:name w:val="Стиль1"/>
    <w:qFormat/>
  </w:style>
  <w:style w:type="numbering" w:styleId="29">
    <w:name w:val="Стиль2"/>
    <w:qFormat/>
  </w:style>
  <w:style w:type="numbering" w:styleId="32367277031">
    <w:name w:val="3236727703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10517</TotalTime>
  <Application>AlterOffice/3.4.0.9$Linux_X86_64 LibreOffice_project/b8daf9e823b1a5463a2f48435ddc2e8696e7d4fc</Application>
  <AppVersion>15.0000</AppVersion>
  <Pages>15</Pages>
  <Words>2629</Words>
  <Characters>18295</Characters>
  <CharactersWithSpaces>20611</CharactersWithSpaces>
  <Paragraphs>369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2021-04-04T11:05:00Z</dcterms:created>
  <dc:creator>Быстров Олег Геннадьевич</dc:creator>
  <dc:description/>
  <dc:language>ru-RU</dc:language>
  <cp:lastModifiedBy/>
  <dcterms:modified xsi:type="dcterms:W3CDTF">2026-06-03T09:53:20Z</dcterms:modified>
  <cp:revision>137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